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E262AC" w:rsidRDefault="009D0E13" w:rsidP="000A01FD">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-161925</wp:posOffset>
                </wp:positionV>
                <wp:extent cx="2038350" cy="1790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383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E13" w:rsidRDefault="009D0E13">
                            <w:r w:rsidRPr="009D0E13">
                              <w:rPr>
                                <w:noProof/>
                              </w:rPr>
                              <w:drawing>
                                <wp:inline distT="0" distB="0" distL="0" distR="0">
                                  <wp:extent cx="17811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12.75pt;width:160.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" fillcolor="white [3201]" strokeweight=".5pt">
                <v:textbox>
                  <w:txbxContent>
                    <w:p w:rsidR="009D0E13" w:rsidRDefault="009D0E13">
                      <w:r w:rsidRPr="009D0E13">
                        <w:rPr>
                          <w:noProof/>
                          <w:lang w:eastAsia="zh-CN"/>
                        </w:rPr>
                        <w:drawing>
                          <wp:inline distT="0" distB="0" distL="0" distR="0">
                            <wp:extent cx="17811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43075"/>
                                    </a:xfrm>
                                    <a:prstGeom prst="rect">
                                      <a:avLst/>
                                    </a:prstGeom>
                                    <a:noFill/>
                                    <a:ln>
                                      <a:noFill/>
                                    </a:ln>
                                  </pic:spPr>
                                </pic:pic>
                              </a:graphicData>
                            </a:graphic>
                          </wp:inline>
                        </w:drawing>
                      </w:r>
                    </w:p>
                  </w:txbxContent>
                </v:textbox>
              </v:shape>
            </w:pict>
          </mc:Fallback>
        </mc:AlternateContent>
      </w:r>
    </w:p>
    <w:p w:rsidR="00E262AC" w:rsidRDefault="00B76D10">
      <w:pPr>
        <w:ind w:left="1440" w:firstLine="720"/>
        <w:jc w:val="center"/>
      </w:pPr>
      <w:r>
        <w:rPr>
          <w:b/>
          <w:sz w:val="28"/>
          <w:szCs w:val="28"/>
        </w:rPr>
        <w:t>T.C. Williams High School</w:t>
      </w:r>
    </w:p>
    <w:p w:rsidR="00E262AC" w:rsidRDefault="00E262AC"/>
    <w:p w:rsidR="00E262AC" w:rsidRDefault="002C3F00">
      <w:pPr>
        <w:ind w:left="1440" w:firstLine="720"/>
        <w:jc w:val="center"/>
      </w:pPr>
      <w:r>
        <w:rPr>
          <w:b/>
          <w:sz w:val="22"/>
          <w:szCs w:val="22"/>
        </w:rPr>
        <w:t>Foundations of Literacy A</w:t>
      </w:r>
    </w:p>
    <w:p w:rsidR="00E262AC" w:rsidRDefault="002C3F00">
      <w:pPr>
        <w:ind w:left="1440" w:firstLine="720"/>
        <w:jc w:val="center"/>
      </w:pPr>
      <w:r>
        <w:rPr>
          <w:b/>
          <w:sz w:val="22"/>
          <w:szCs w:val="22"/>
        </w:rPr>
        <w:t>Mrs. Peggy Di Scipio</w:t>
      </w:r>
    </w:p>
    <w:p w:rsidR="00E262AC" w:rsidRDefault="002C3F00">
      <w:pPr>
        <w:ind w:left="1440" w:firstLine="720"/>
        <w:jc w:val="center"/>
      </w:pPr>
      <w:r>
        <w:rPr>
          <w:b/>
          <w:sz w:val="22"/>
          <w:szCs w:val="22"/>
        </w:rPr>
        <w:t>Room 117</w:t>
      </w:r>
    </w:p>
    <w:p w:rsidR="00304381" w:rsidRDefault="00B76D10" w:rsidP="00304381">
      <w:pPr>
        <w:ind w:left="1440" w:firstLine="720"/>
        <w:jc w:val="center"/>
      </w:pPr>
      <w:r>
        <w:rPr>
          <w:b/>
          <w:sz w:val="22"/>
          <w:szCs w:val="22"/>
        </w:rPr>
        <w:t xml:space="preserve">Office hours </w:t>
      </w:r>
      <w:r w:rsidR="00647D0F">
        <w:rPr>
          <w:b/>
          <w:sz w:val="22"/>
          <w:szCs w:val="22"/>
        </w:rPr>
        <w:t>7:45-8:15 AM</w:t>
      </w:r>
      <w:r w:rsidR="00346AB1">
        <w:rPr>
          <w:b/>
          <w:sz w:val="22"/>
          <w:szCs w:val="22"/>
        </w:rPr>
        <w:t xml:space="preserve"> (M-F); 3:15-4:25 </w:t>
      </w:r>
      <w:r w:rsidR="00647D0F">
        <w:rPr>
          <w:b/>
          <w:sz w:val="22"/>
          <w:szCs w:val="22"/>
        </w:rPr>
        <w:t>PM</w:t>
      </w:r>
      <w:r w:rsidR="00304381">
        <w:rPr>
          <w:b/>
          <w:sz w:val="22"/>
          <w:szCs w:val="22"/>
        </w:rPr>
        <w:t xml:space="preserve"> (</w:t>
      </w:r>
      <w:r w:rsidR="00647D0F">
        <w:rPr>
          <w:b/>
          <w:sz w:val="22"/>
          <w:szCs w:val="22"/>
        </w:rPr>
        <w:t>Varies</w:t>
      </w:r>
      <w:r w:rsidR="00304381">
        <w:rPr>
          <w:b/>
          <w:sz w:val="22"/>
          <w:szCs w:val="22"/>
        </w:rPr>
        <w:t>)</w:t>
      </w:r>
    </w:p>
    <w:p w:rsidR="00E262AC" w:rsidRDefault="002C3F00" w:rsidP="00304381">
      <w:pPr>
        <w:ind w:left="1440" w:firstLine="720"/>
        <w:jc w:val="center"/>
      </w:pPr>
      <w:r>
        <w:rPr>
          <w:b/>
          <w:sz w:val="22"/>
          <w:szCs w:val="22"/>
        </w:rPr>
        <w:t>margaret.discipio@acps.k12.va.us</w:t>
      </w:r>
    </w:p>
    <w:p w:rsidR="00E262AC" w:rsidRPr="006C7962" w:rsidRDefault="005678CE">
      <w:pPr>
        <w:ind w:left="1440" w:firstLine="720"/>
        <w:jc w:val="center"/>
      </w:pPr>
      <w:r w:rsidRPr="006C7962">
        <w:rPr>
          <w:b/>
          <w:sz w:val="22"/>
          <w:szCs w:val="22"/>
        </w:rPr>
        <w:t>703-824-6750</w:t>
      </w:r>
    </w:p>
    <w:p w:rsidR="00E262AC" w:rsidRPr="006C7962" w:rsidRDefault="00E262AC">
      <w:pPr>
        <w:ind w:left="1440" w:firstLine="720"/>
        <w:jc w:val="center"/>
      </w:pPr>
    </w:p>
    <w:p w:rsidR="005B7BEF" w:rsidRPr="006C7962" w:rsidRDefault="00B76D10">
      <w:pPr>
        <w:jc w:val="center"/>
        <w:rPr>
          <w:b/>
          <w:sz w:val="28"/>
          <w:szCs w:val="28"/>
        </w:rPr>
      </w:pPr>
      <w:r w:rsidRPr="006C7962">
        <w:rPr>
          <w:b/>
          <w:sz w:val="28"/>
          <w:szCs w:val="28"/>
        </w:rPr>
        <w:t>Syllabus</w:t>
      </w:r>
      <w:r w:rsidR="005B7BEF" w:rsidRPr="006C7962">
        <w:rPr>
          <w:b/>
          <w:sz w:val="28"/>
          <w:szCs w:val="28"/>
        </w:rPr>
        <w:t xml:space="preserve"> </w:t>
      </w:r>
    </w:p>
    <w:p w:rsidR="00647D0F" w:rsidRDefault="00647D0F" w:rsidP="00647D0F">
      <w:pPr>
        <w:jc w:val="center"/>
        <w:rPr>
          <w:b/>
          <w:sz w:val="28"/>
          <w:szCs w:val="28"/>
        </w:rPr>
      </w:pPr>
      <w:r>
        <w:rPr>
          <w:b/>
          <w:sz w:val="28"/>
          <w:szCs w:val="28"/>
        </w:rPr>
        <w:t>2018-2019</w:t>
      </w:r>
    </w:p>
    <w:p w:rsidR="00647D0F" w:rsidRDefault="00647D0F" w:rsidP="00647D0F">
      <w:pPr>
        <w:jc w:val="center"/>
        <w:rPr>
          <w:b/>
          <w:sz w:val="28"/>
          <w:szCs w:val="28"/>
        </w:rPr>
      </w:pPr>
    </w:p>
    <w:p w:rsidR="00E262AC" w:rsidRPr="006C7962" w:rsidRDefault="00B76D10" w:rsidP="00647D0F">
      <w:pPr>
        <w:rPr>
          <w:b/>
          <w:sz w:val="22"/>
          <w:szCs w:val="22"/>
        </w:rPr>
      </w:pPr>
      <w:r w:rsidRPr="006C7962">
        <w:rPr>
          <w:b/>
          <w:sz w:val="22"/>
          <w:szCs w:val="22"/>
        </w:rPr>
        <w:t>Course Description:</w:t>
      </w:r>
    </w:p>
    <w:p w:rsidR="002C3F00" w:rsidRPr="006C7962" w:rsidRDefault="002C3F00"/>
    <w:p w:rsidR="002C3F00" w:rsidRDefault="002C3F00" w:rsidP="002C3F00">
      <w:pPr>
        <w:tabs>
          <w:tab w:val="left" w:pos="6045"/>
        </w:tabs>
      </w:pPr>
      <w:r>
        <w:t>This course helps students improve functional reading skills and develop new strategies, enabling them to be more successful in their high school classes. The curriculum expands vocational and academic literacy and promotes personal security by enhancing fundamental reading proficiency. Instruction utilizes research-based programs and methods in the area of active literacy. Students develop and implement skills in reading, writing, speaking, listening and thinking. An important objective of this course is to encourage students to read independently for enjoyment.</w:t>
      </w:r>
    </w:p>
    <w:p w:rsidR="00E262AC" w:rsidRDefault="002C3F00" w:rsidP="002C3F00">
      <w:pPr>
        <w:tabs>
          <w:tab w:val="left" w:pos="6045"/>
        </w:tabs>
      </w:pPr>
      <w:r>
        <w:tab/>
      </w:r>
    </w:p>
    <w:p w:rsidR="008A776D" w:rsidRDefault="00B76D10">
      <w:pPr>
        <w:rPr>
          <w:b/>
          <w:sz w:val="22"/>
          <w:szCs w:val="22"/>
        </w:rPr>
      </w:pPr>
      <w:r>
        <w:rPr>
          <w:b/>
          <w:sz w:val="22"/>
          <w:szCs w:val="22"/>
        </w:rPr>
        <w:t>Course Essential Questions:</w:t>
      </w:r>
    </w:p>
    <w:p w:rsidR="00E262AC" w:rsidRDefault="00B76D10">
      <w:r>
        <w:rPr>
          <w:b/>
          <w:sz w:val="22"/>
          <w:szCs w:val="22"/>
        </w:rPr>
        <w:t xml:space="preserve"> </w:t>
      </w:r>
    </w:p>
    <w:p w:rsidR="008A776D" w:rsidRPr="008A776D" w:rsidRDefault="008A776D" w:rsidP="008A776D">
      <w:pPr>
        <w:numPr>
          <w:ilvl w:val="0"/>
          <w:numId w:val="6"/>
        </w:numPr>
        <w:rPr>
          <w:sz w:val="22"/>
          <w:szCs w:val="22"/>
        </w:rPr>
      </w:pPr>
      <w:r w:rsidRPr="008A776D">
        <w:rPr>
          <w:sz w:val="22"/>
          <w:szCs w:val="22"/>
        </w:rPr>
        <w:t>How will improving my reading enhance my opportunities in life?</w:t>
      </w:r>
    </w:p>
    <w:p w:rsidR="008A776D" w:rsidRPr="008A776D" w:rsidRDefault="008A776D" w:rsidP="008A776D">
      <w:pPr>
        <w:numPr>
          <w:ilvl w:val="0"/>
          <w:numId w:val="6"/>
        </w:numPr>
        <w:rPr>
          <w:sz w:val="22"/>
          <w:szCs w:val="22"/>
        </w:rPr>
      </w:pPr>
      <w:r w:rsidRPr="008A776D">
        <w:rPr>
          <w:sz w:val="22"/>
          <w:szCs w:val="22"/>
        </w:rPr>
        <w:t>Can I use literacy competencies to make myself a confident, self-directed learner?</w:t>
      </w:r>
    </w:p>
    <w:p w:rsidR="008A776D" w:rsidRPr="008A776D" w:rsidRDefault="008A776D" w:rsidP="008A776D">
      <w:pPr>
        <w:numPr>
          <w:ilvl w:val="0"/>
          <w:numId w:val="6"/>
        </w:numPr>
        <w:rPr>
          <w:sz w:val="22"/>
          <w:szCs w:val="22"/>
        </w:rPr>
      </w:pPr>
      <w:r w:rsidRPr="008A776D">
        <w:rPr>
          <w:sz w:val="22"/>
          <w:szCs w:val="22"/>
        </w:rPr>
        <w:t>How will my use of strategies developed in this course improve understanding of reading, listening, and communicating?</w:t>
      </w:r>
    </w:p>
    <w:p w:rsidR="008A776D" w:rsidRPr="008A776D" w:rsidRDefault="008A776D" w:rsidP="008A776D">
      <w:pPr>
        <w:numPr>
          <w:ilvl w:val="0"/>
          <w:numId w:val="6"/>
        </w:numPr>
        <w:rPr>
          <w:sz w:val="22"/>
          <w:szCs w:val="22"/>
        </w:rPr>
      </w:pPr>
      <w:r w:rsidRPr="008A776D">
        <w:rPr>
          <w:sz w:val="22"/>
          <w:szCs w:val="22"/>
        </w:rPr>
        <w:t>How does reading improve my vocabulary?</w:t>
      </w:r>
    </w:p>
    <w:p w:rsidR="008A776D" w:rsidRPr="008A776D" w:rsidRDefault="008A776D" w:rsidP="008A776D">
      <w:pPr>
        <w:numPr>
          <w:ilvl w:val="0"/>
          <w:numId w:val="6"/>
        </w:numPr>
        <w:rPr>
          <w:sz w:val="22"/>
          <w:szCs w:val="22"/>
        </w:rPr>
      </w:pPr>
      <w:r w:rsidRPr="008A776D">
        <w:rPr>
          <w:sz w:val="22"/>
          <w:szCs w:val="22"/>
        </w:rPr>
        <w:t>How does reading connect to making me a better writer?</w:t>
      </w:r>
    </w:p>
    <w:p w:rsidR="00E262AC" w:rsidRDefault="00E262AC"/>
    <w:p w:rsidR="00E262AC" w:rsidRDefault="00B76D10">
      <w:pPr>
        <w:rPr>
          <w:b/>
          <w:sz w:val="22"/>
          <w:szCs w:val="22"/>
        </w:rPr>
      </w:pPr>
      <w:r>
        <w:rPr>
          <w:b/>
          <w:sz w:val="22"/>
          <w:szCs w:val="22"/>
        </w:rPr>
        <w:t>Course Transfer Goals:</w:t>
      </w:r>
    </w:p>
    <w:p w:rsidR="008A776D" w:rsidRDefault="008A776D">
      <w:pPr>
        <w:rPr>
          <w:b/>
          <w:sz w:val="22"/>
          <w:szCs w:val="22"/>
        </w:rPr>
      </w:pPr>
    </w:p>
    <w:p w:rsidR="008A776D" w:rsidRPr="008A776D" w:rsidRDefault="008A776D" w:rsidP="008A776D">
      <w:pPr>
        <w:rPr>
          <w:b/>
          <w:sz w:val="22"/>
          <w:szCs w:val="22"/>
        </w:rPr>
      </w:pPr>
      <w:r w:rsidRPr="008A776D">
        <w:rPr>
          <w:sz w:val="22"/>
          <w:szCs w:val="22"/>
        </w:rPr>
        <w:t>Upon completion of this course, students will be able to:</w:t>
      </w:r>
    </w:p>
    <w:p w:rsidR="008A776D" w:rsidRPr="008A776D" w:rsidRDefault="008A776D" w:rsidP="008A776D">
      <w:pPr>
        <w:numPr>
          <w:ilvl w:val="0"/>
          <w:numId w:val="7"/>
        </w:numPr>
        <w:rPr>
          <w:sz w:val="22"/>
          <w:szCs w:val="22"/>
        </w:rPr>
      </w:pPr>
      <w:r w:rsidRPr="008A776D">
        <w:rPr>
          <w:sz w:val="22"/>
          <w:szCs w:val="22"/>
        </w:rPr>
        <w:t xml:space="preserve">Utilize cross curricula learning strategies. </w:t>
      </w:r>
    </w:p>
    <w:p w:rsidR="008A776D" w:rsidRPr="008A776D" w:rsidRDefault="008A776D" w:rsidP="008A776D">
      <w:pPr>
        <w:numPr>
          <w:ilvl w:val="0"/>
          <w:numId w:val="7"/>
        </w:numPr>
        <w:rPr>
          <w:sz w:val="22"/>
          <w:szCs w:val="22"/>
        </w:rPr>
      </w:pPr>
      <w:r w:rsidRPr="008A776D">
        <w:rPr>
          <w:sz w:val="22"/>
          <w:szCs w:val="22"/>
        </w:rPr>
        <w:t>Construct well-written, grammatically correct text.</w:t>
      </w:r>
    </w:p>
    <w:p w:rsidR="008A776D" w:rsidRPr="008A776D" w:rsidRDefault="008A776D" w:rsidP="008A776D">
      <w:pPr>
        <w:numPr>
          <w:ilvl w:val="0"/>
          <w:numId w:val="7"/>
        </w:numPr>
        <w:rPr>
          <w:sz w:val="22"/>
          <w:szCs w:val="22"/>
        </w:rPr>
      </w:pPr>
      <w:r w:rsidRPr="008A776D">
        <w:rPr>
          <w:sz w:val="22"/>
          <w:szCs w:val="22"/>
        </w:rPr>
        <w:t>Demonstrate increased fluency in reading.</w:t>
      </w:r>
    </w:p>
    <w:p w:rsidR="008A776D" w:rsidRPr="008A776D" w:rsidRDefault="008A776D" w:rsidP="008A776D">
      <w:pPr>
        <w:numPr>
          <w:ilvl w:val="0"/>
          <w:numId w:val="7"/>
        </w:numPr>
        <w:rPr>
          <w:sz w:val="22"/>
          <w:szCs w:val="22"/>
        </w:rPr>
      </w:pPr>
      <w:r w:rsidRPr="008A776D">
        <w:rPr>
          <w:sz w:val="22"/>
          <w:szCs w:val="22"/>
        </w:rPr>
        <w:t>Demonstrate increased comprehension in reading.</w:t>
      </w:r>
    </w:p>
    <w:p w:rsidR="008A776D" w:rsidRPr="008A776D" w:rsidRDefault="008A776D" w:rsidP="008A776D">
      <w:pPr>
        <w:numPr>
          <w:ilvl w:val="0"/>
          <w:numId w:val="7"/>
        </w:numPr>
        <w:rPr>
          <w:sz w:val="22"/>
          <w:szCs w:val="22"/>
        </w:rPr>
      </w:pPr>
      <w:r w:rsidRPr="008A776D">
        <w:rPr>
          <w:sz w:val="22"/>
          <w:szCs w:val="22"/>
        </w:rPr>
        <w:t>Demonstrate an increased vocabulary.</w:t>
      </w:r>
    </w:p>
    <w:p w:rsidR="008A776D" w:rsidRPr="008A776D" w:rsidRDefault="008A776D" w:rsidP="008A776D">
      <w:pPr>
        <w:numPr>
          <w:ilvl w:val="0"/>
          <w:numId w:val="7"/>
        </w:numPr>
        <w:rPr>
          <w:sz w:val="22"/>
          <w:szCs w:val="22"/>
        </w:rPr>
      </w:pPr>
      <w:r w:rsidRPr="008A776D">
        <w:rPr>
          <w:sz w:val="22"/>
          <w:szCs w:val="22"/>
        </w:rPr>
        <w:t>Use writing to learn.</w:t>
      </w:r>
    </w:p>
    <w:p w:rsidR="008A776D" w:rsidRPr="008A776D" w:rsidRDefault="008A776D" w:rsidP="008A776D">
      <w:pPr>
        <w:numPr>
          <w:ilvl w:val="0"/>
          <w:numId w:val="7"/>
        </w:numPr>
        <w:rPr>
          <w:sz w:val="22"/>
          <w:szCs w:val="22"/>
        </w:rPr>
      </w:pPr>
      <w:r w:rsidRPr="008A776D">
        <w:rPr>
          <w:sz w:val="22"/>
          <w:szCs w:val="22"/>
        </w:rPr>
        <w:t xml:space="preserve">Demonstrate active listening skills. </w:t>
      </w:r>
    </w:p>
    <w:p w:rsidR="008A776D" w:rsidRPr="008A776D" w:rsidRDefault="008A776D" w:rsidP="008A776D">
      <w:pPr>
        <w:numPr>
          <w:ilvl w:val="0"/>
          <w:numId w:val="7"/>
        </w:numPr>
        <w:rPr>
          <w:sz w:val="22"/>
          <w:szCs w:val="22"/>
        </w:rPr>
      </w:pPr>
      <w:r w:rsidRPr="008A776D">
        <w:rPr>
          <w:sz w:val="22"/>
          <w:szCs w:val="22"/>
        </w:rPr>
        <w:t>Demonstrate higher level thinking skills.</w:t>
      </w:r>
    </w:p>
    <w:p w:rsidR="008A776D" w:rsidRPr="008A776D" w:rsidRDefault="008A776D" w:rsidP="008A776D">
      <w:pPr>
        <w:numPr>
          <w:ilvl w:val="0"/>
          <w:numId w:val="7"/>
        </w:numPr>
        <w:rPr>
          <w:sz w:val="22"/>
          <w:szCs w:val="22"/>
        </w:rPr>
      </w:pPr>
      <w:r w:rsidRPr="008A776D">
        <w:rPr>
          <w:sz w:val="22"/>
          <w:szCs w:val="22"/>
        </w:rPr>
        <w:t>Read silently in order to reinforce literacy skills.</w:t>
      </w:r>
    </w:p>
    <w:p w:rsidR="008A776D" w:rsidRPr="008A776D" w:rsidRDefault="008A776D" w:rsidP="008A776D">
      <w:pPr>
        <w:numPr>
          <w:ilvl w:val="0"/>
          <w:numId w:val="7"/>
        </w:numPr>
        <w:rPr>
          <w:sz w:val="22"/>
          <w:szCs w:val="22"/>
        </w:rPr>
      </w:pPr>
      <w:r w:rsidRPr="008A776D">
        <w:rPr>
          <w:sz w:val="22"/>
          <w:szCs w:val="22"/>
        </w:rPr>
        <w:t>Increase motivation to read independently.</w:t>
      </w:r>
    </w:p>
    <w:p w:rsidR="008A776D" w:rsidRDefault="008A776D" w:rsidP="008A776D">
      <w:pPr>
        <w:pStyle w:val="ListParagraph"/>
      </w:pPr>
    </w:p>
    <w:p w:rsidR="00E262AC" w:rsidRDefault="00E262AC"/>
    <w:p w:rsidR="00E262AC" w:rsidRDefault="00B76D10">
      <w:r>
        <w:rPr>
          <w:b/>
          <w:sz w:val="22"/>
          <w:szCs w:val="22"/>
        </w:rPr>
        <w:lastRenderedPageBreak/>
        <w:t xml:space="preserve">Course </w:t>
      </w:r>
      <w:proofErr w:type="gramStart"/>
      <w:r>
        <w:rPr>
          <w:b/>
          <w:sz w:val="22"/>
          <w:szCs w:val="22"/>
        </w:rPr>
        <w:t>At</w:t>
      </w:r>
      <w:proofErr w:type="gramEnd"/>
      <w:r>
        <w:rPr>
          <w:b/>
          <w:sz w:val="22"/>
          <w:szCs w:val="22"/>
        </w:rPr>
        <w:t xml:space="preserve"> A Glance:</w:t>
      </w:r>
      <w:r>
        <w:rPr>
          <w:b/>
          <w:color w:val="FF0000"/>
          <w:sz w:val="22"/>
          <w:szCs w:val="22"/>
        </w:rPr>
        <w:t xml:space="preserve">  </w:t>
      </w:r>
      <w:r w:rsidR="008A776D">
        <w:rPr>
          <w:sz w:val="22"/>
          <w:szCs w:val="22"/>
        </w:rPr>
        <w:t xml:space="preserve">Students will use close reading strategies to improve comprehension of non-fiction and fiction texts.  Students will respond to text orally and in writing.  </w:t>
      </w:r>
    </w:p>
    <w:p w:rsidR="00E262AC" w:rsidRDefault="00E262AC"/>
    <w:p w:rsidR="00E262AC" w:rsidRDefault="00B76D10">
      <w:pPr>
        <w:rPr>
          <w:sz w:val="22"/>
          <w:szCs w:val="22"/>
        </w:rPr>
      </w:pPr>
      <w:r>
        <w:rPr>
          <w:b/>
          <w:sz w:val="22"/>
          <w:szCs w:val="22"/>
        </w:rPr>
        <w:t>Instructional Sequence</w:t>
      </w:r>
      <w:r>
        <w:rPr>
          <w:sz w:val="22"/>
          <w:szCs w:val="22"/>
        </w:rPr>
        <w:t>:</w:t>
      </w:r>
    </w:p>
    <w:p w:rsidR="008A776D" w:rsidRDefault="005407D2" w:rsidP="008A776D">
      <w:r>
        <w:t>The following skills and strategies will be addressed all four quarters:</w:t>
      </w:r>
    </w:p>
    <w:p w:rsidR="00647D0F" w:rsidRDefault="005407D2" w:rsidP="005407D2">
      <w:pPr>
        <w:pStyle w:val="ListParagraph"/>
        <w:numPr>
          <w:ilvl w:val="0"/>
          <w:numId w:val="12"/>
        </w:numPr>
      </w:pPr>
      <w:r>
        <w:t>Research skills</w:t>
      </w:r>
    </w:p>
    <w:p w:rsidR="005407D2" w:rsidRDefault="005407D2" w:rsidP="005407D2">
      <w:pPr>
        <w:pStyle w:val="ListParagraph"/>
        <w:numPr>
          <w:ilvl w:val="0"/>
          <w:numId w:val="12"/>
        </w:numPr>
      </w:pPr>
      <w:r>
        <w:t>Pre-, During- and Post-Reading strategies to increase comprehension</w:t>
      </w:r>
    </w:p>
    <w:p w:rsidR="005407D2" w:rsidRDefault="00FF2FEF" w:rsidP="005407D2">
      <w:pPr>
        <w:pStyle w:val="ListParagraph"/>
        <w:numPr>
          <w:ilvl w:val="0"/>
          <w:numId w:val="12"/>
        </w:numPr>
      </w:pPr>
      <w:r>
        <w:t>Making an inference</w:t>
      </w:r>
    </w:p>
    <w:p w:rsidR="00FF2FEF" w:rsidRDefault="00FF2FEF" w:rsidP="005407D2">
      <w:pPr>
        <w:pStyle w:val="ListParagraph"/>
        <w:numPr>
          <w:ilvl w:val="0"/>
          <w:numId w:val="12"/>
        </w:numPr>
      </w:pPr>
      <w:r>
        <w:t>Increasing word recognition</w:t>
      </w:r>
    </w:p>
    <w:p w:rsidR="00FF2FEF" w:rsidRDefault="00FF2FEF" w:rsidP="005407D2">
      <w:pPr>
        <w:pStyle w:val="ListParagraph"/>
        <w:numPr>
          <w:ilvl w:val="0"/>
          <w:numId w:val="12"/>
        </w:numPr>
      </w:pPr>
      <w:r>
        <w:t>Improving fluency</w:t>
      </w:r>
    </w:p>
    <w:p w:rsidR="00FF2FEF" w:rsidRDefault="00FF2FEF" w:rsidP="005407D2">
      <w:pPr>
        <w:pStyle w:val="ListParagraph"/>
        <w:numPr>
          <w:ilvl w:val="0"/>
          <w:numId w:val="12"/>
        </w:numPr>
      </w:pPr>
      <w:r>
        <w:t>Selecting books for independent reading</w:t>
      </w:r>
    </w:p>
    <w:p w:rsidR="00FF2FEF" w:rsidRDefault="00FF2FEF" w:rsidP="005407D2">
      <w:pPr>
        <w:pStyle w:val="ListParagraph"/>
        <w:numPr>
          <w:ilvl w:val="0"/>
          <w:numId w:val="12"/>
        </w:numPr>
      </w:pPr>
      <w:r>
        <w:t>Metacognition:  Thinking about your thinking</w:t>
      </w:r>
    </w:p>
    <w:p w:rsidR="00FF2FEF" w:rsidRDefault="00647D0F" w:rsidP="005407D2">
      <w:pPr>
        <w:pStyle w:val="ListParagraph"/>
        <w:numPr>
          <w:ilvl w:val="0"/>
          <w:numId w:val="12"/>
        </w:numPr>
      </w:pPr>
      <w:r>
        <w:t>Skills to improve written expression</w:t>
      </w:r>
    </w:p>
    <w:p w:rsidR="00647D0F" w:rsidRPr="008A776D" w:rsidRDefault="00647D0F" w:rsidP="005407D2">
      <w:pPr>
        <w:pStyle w:val="ListParagraph"/>
        <w:numPr>
          <w:ilvl w:val="0"/>
          <w:numId w:val="12"/>
        </w:numPr>
      </w:pPr>
      <w:r>
        <w:t>Vocabulary Strategies</w:t>
      </w:r>
    </w:p>
    <w:p w:rsidR="008A776D" w:rsidRDefault="008A776D"/>
    <w:p w:rsidR="00E262AC" w:rsidRDefault="00E262AC"/>
    <w:p w:rsidR="00E262AC" w:rsidRDefault="00B76D10">
      <w:pPr>
        <w:rPr>
          <w:sz w:val="22"/>
          <w:szCs w:val="22"/>
        </w:rPr>
      </w:pPr>
      <w:r>
        <w:rPr>
          <w:b/>
          <w:sz w:val="22"/>
          <w:szCs w:val="22"/>
        </w:rPr>
        <w:t xml:space="preserve">Materials:  </w:t>
      </w:r>
    </w:p>
    <w:p w:rsidR="008A776D" w:rsidRDefault="008A776D">
      <w:pPr>
        <w:rPr>
          <w:sz w:val="22"/>
          <w:szCs w:val="22"/>
        </w:rPr>
      </w:pPr>
      <w:r>
        <w:rPr>
          <w:sz w:val="22"/>
          <w:szCs w:val="22"/>
        </w:rPr>
        <w:tab/>
      </w:r>
      <w:r w:rsidR="00FF2FEF">
        <w:rPr>
          <w:sz w:val="22"/>
          <w:szCs w:val="22"/>
        </w:rPr>
        <w:t>1-subject notebook</w:t>
      </w:r>
    </w:p>
    <w:p w:rsidR="008A776D" w:rsidRDefault="008A776D">
      <w:pPr>
        <w:rPr>
          <w:sz w:val="22"/>
          <w:szCs w:val="22"/>
        </w:rPr>
      </w:pPr>
      <w:r>
        <w:rPr>
          <w:sz w:val="22"/>
          <w:szCs w:val="22"/>
        </w:rPr>
        <w:tab/>
        <w:t>Paper</w:t>
      </w:r>
    </w:p>
    <w:p w:rsidR="008A776D" w:rsidRDefault="008A776D">
      <w:r>
        <w:rPr>
          <w:sz w:val="22"/>
          <w:szCs w:val="22"/>
        </w:rPr>
        <w:tab/>
        <w:t>Pen/Pencil</w:t>
      </w:r>
    </w:p>
    <w:p w:rsidR="00E262AC" w:rsidRDefault="00E262AC">
      <w:pPr>
        <w:ind w:left="1440" w:hanging="1440"/>
      </w:pPr>
    </w:p>
    <w:p w:rsidR="00E262AC" w:rsidRDefault="00E262AC" w:rsidP="008A776D"/>
    <w:p w:rsidR="00E262AC" w:rsidRDefault="00B76D10">
      <w:proofErr w:type="gramStart"/>
      <w:r>
        <w:rPr>
          <w:b/>
          <w:sz w:val="22"/>
          <w:szCs w:val="22"/>
        </w:rPr>
        <w:t>Supports Available</w:t>
      </w:r>
      <w:r>
        <w:rPr>
          <w:sz w:val="22"/>
          <w:szCs w:val="22"/>
        </w:rPr>
        <w:t>: (Students are expected to use these supports to enhance academic achievement).</w:t>
      </w:r>
      <w:proofErr w:type="gramEnd"/>
    </w:p>
    <w:p w:rsidR="00520AAB" w:rsidRPr="00520AAB" w:rsidRDefault="00520AAB" w:rsidP="00520AAB">
      <w:pPr>
        <w:numPr>
          <w:ilvl w:val="0"/>
          <w:numId w:val="10"/>
        </w:numPr>
        <w:rPr>
          <w:sz w:val="22"/>
          <w:szCs w:val="22"/>
        </w:rPr>
      </w:pPr>
      <w:bookmarkStart w:id="1" w:name="h.gjdgxs" w:colFirst="0" w:colLast="0"/>
      <w:bookmarkEnd w:id="1"/>
      <w:r w:rsidRPr="00520AAB">
        <w:rPr>
          <w:sz w:val="22"/>
          <w:szCs w:val="22"/>
        </w:rPr>
        <w:t>Writing Center</w:t>
      </w:r>
      <w:r w:rsidR="00346AB1">
        <w:rPr>
          <w:sz w:val="22"/>
          <w:szCs w:val="22"/>
        </w:rPr>
        <w:t xml:space="preserve"> (King Street)</w:t>
      </w:r>
    </w:p>
    <w:p w:rsidR="00520AAB" w:rsidRPr="00520AAB" w:rsidRDefault="00520AAB" w:rsidP="00520AAB">
      <w:pPr>
        <w:numPr>
          <w:ilvl w:val="0"/>
          <w:numId w:val="10"/>
        </w:numPr>
        <w:rPr>
          <w:sz w:val="22"/>
          <w:szCs w:val="22"/>
        </w:rPr>
      </w:pPr>
      <w:r w:rsidRPr="00520AAB">
        <w:rPr>
          <w:sz w:val="22"/>
          <w:szCs w:val="22"/>
        </w:rPr>
        <w:t>Before and After School Tutoring</w:t>
      </w:r>
    </w:p>
    <w:p w:rsidR="00520AAB" w:rsidRPr="00520AAB" w:rsidRDefault="00520AAB" w:rsidP="00520AAB">
      <w:pPr>
        <w:numPr>
          <w:ilvl w:val="0"/>
          <w:numId w:val="10"/>
        </w:numPr>
        <w:rPr>
          <w:sz w:val="22"/>
          <w:szCs w:val="22"/>
        </w:rPr>
      </w:pPr>
      <w:smartTag w:uri="urn:schemas-microsoft-com:office:smarttags" w:element="place">
        <w:smartTag w:uri="urn:schemas-microsoft-com:office:smarttags" w:element="PlaceName">
          <w:r w:rsidRPr="00520AAB">
            <w:rPr>
              <w:sz w:val="22"/>
              <w:szCs w:val="22"/>
            </w:rPr>
            <w:t>Saturday</w:t>
          </w:r>
        </w:smartTag>
        <w:r w:rsidRPr="00520AAB">
          <w:rPr>
            <w:sz w:val="22"/>
            <w:szCs w:val="22"/>
          </w:rPr>
          <w:t xml:space="preserve"> </w:t>
        </w:r>
        <w:smartTag w:uri="urn:schemas-microsoft-com:office:smarttags" w:element="PlaceName">
          <w:r w:rsidRPr="00520AAB">
            <w:rPr>
              <w:sz w:val="22"/>
              <w:szCs w:val="22"/>
            </w:rPr>
            <w:t>Learning</w:t>
          </w:r>
        </w:smartTag>
        <w:r w:rsidRPr="00520AAB">
          <w:rPr>
            <w:sz w:val="22"/>
            <w:szCs w:val="22"/>
          </w:rPr>
          <w:t xml:space="preserve"> </w:t>
        </w:r>
        <w:smartTag w:uri="urn:schemas-microsoft-com:office:smarttags" w:element="PlaceType">
          <w:r w:rsidRPr="00520AAB">
            <w:rPr>
              <w:sz w:val="22"/>
              <w:szCs w:val="22"/>
            </w:rPr>
            <w:t>Academy</w:t>
          </w:r>
        </w:smartTag>
      </w:smartTag>
    </w:p>
    <w:p w:rsidR="00E262AC" w:rsidRDefault="00E262AC"/>
    <w:p w:rsidR="006C7962" w:rsidRPr="006C7962" w:rsidRDefault="006C7962">
      <w:pPr>
        <w:rPr>
          <w:b/>
        </w:rPr>
      </w:pPr>
      <w:r w:rsidRPr="006C7962">
        <w:rPr>
          <w:b/>
        </w:rPr>
        <w:t xml:space="preserve">Grading:  </w:t>
      </w:r>
    </w:p>
    <w:p w:rsidR="009D0E13" w:rsidRDefault="00FF2FEF" w:rsidP="00FF2FEF">
      <w:pPr>
        <w:pStyle w:val="ListParagraph"/>
        <w:numPr>
          <w:ilvl w:val="0"/>
          <w:numId w:val="13"/>
        </w:numPr>
        <w:rPr>
          <w:sz w:val="22"/>
          <w:szCs w:val="22"/>
        </w:rPr>
      </w:pPr>
      <w:r>
        <w:rPr>
          <w:sz w:val="22"/>
          <w:szCs w:val="22"/>
        </w:rPr>
        <w:t>Formative Assessments (Classwork)</w:t>
      </w:r>
      <w:r w:rsidR="00647D0F">
        <w:rPr>
          <w:sz w:val="22"/>
          <w:szCs w:val="22"/>
        </w:rPr>
        <w:t xml:space="preserve">  50%</w:t>
      </w:r>
    </w:p>
    <w:p w:rsidR="00FF2FEF" w:rsidRPr="00FF2FEF" w:rsidRDefault="00FF2FEF" w:rsidP="00FF2FEF">
      <w:pPr>
        <w:pStyle w:val="ListParagraph"/>
        <w:numPr>
          <w:ilvl w:val="0"/>
          <w:numId w:val="13"/>
        </w:numPr>
        <w:rPr>
          <w:sz w:val="22"/>
          <w:szCs w:val="22"/>
        </w:rPr>
      </w:pPr>
      <w:r>
        <w:rPr>
          <w:sz w:val="22"/>
          <w:szCs w:val="22"/>
        </w:rPr>
        <w:t>Summative Assessments (Tests, Quizzes, Projects</w:t>
      </w:r>
      <w:r w:rsidR="00346AB1">
        <w:rPr>
          <w:sz w:val="22"/>
          <w:szCs w:val="22"/>
        </w:rPr>
        <w:t>)</w:t>
      </w:r>
      <w:r w:rsidR="00647D0F">
        <w:rPr>
          <w:sz w:val="22"/>
          <w:szCs w:val="22"/>
        </w:rPr>
        <w:t xml:space="preserve"> 50%</w:t>
      </w:r>
    </w:p>
    <w:p w:rsidR="00520AAB" w:rsidRDefault="00520AAB">
      <w:pPr>
        <w:rPr>
          <w:b/>
          <w:sz w:val="22"/>
          <w:szCs w:val="22"/>
        </w:rPr>
      </w:pPr>
    </w:p>
    <w:p w:rsidR="00520AAB" w:rsidRDefault="00520AAB">
      <w:pPr>
        <w:rPr>
          <w:b/>
          <w:sz w:val="22"/>
          <w:szCs w:val="22"/>
        </w:rPr>
      </w:pPr>
    </w:p>
    <w:p w:rsidR="00520AAB" w:rsidRDefault="00520AAB">
      <w:pPr>
        <w:rPr>
          <w:b/>
          <w:sz w:val="22"/>
          <w:szCs w:val="22"/>
        </w:rPr>
      </w:pPr>
    </w:p>
    <w:p w:rsidR="00520AAB" w:rsidRDefault="00520AAB">
      <w:pPr>
        <w:rPr>
          <w:b/>
          <w:sz w:val="22"/>
          <w:szCs w:val="22"/>
        </w:rPr>
      </w:pPr>
    </w:p>
    <w:p w:rsidR="00520AAB" w:rsidRDefault="00520AAB">
      <w:pPr>
        <w:rPr>
          <w:b/>
          <w:sz w:val="22"/>
          <w:szCs w:val="22"/>
        </w:rPr>
      </w:pPr>
    </w:p>
    <w:p w:rsidR="00520AAB" w:rsidRDefault="00520AAB">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FF2FEF" w:rsidRDefault="00FF2FEF">
      <w:pPr>
        <w:rPr>
          <w:b/>
          <w:sz w:val="22"/>
          <w:szCs w:val="22"/>
        </w:rPr>
      </w:pPr>
    </w:p>
    <w:p w:rsidR="00520AAB" w:rsidRDefault="00520AAB">
      <w:pPr>
        <w:rPr>
          <w:b/>
          <w:sz w:val="22"/>
          <w:szCs w:val="22"/>
        </w:rPr>
      </w:pPr>
    </w:p>
    <w:p w:rsidR="00520AAB" w:rsidRDefault="00520AAB">
      <w:pPr>
        <w:rPr>
          <w:b/>
          <w:sz w:val="22"/>
          <w:szCs w:val="22"/>
        </w:rPr>
      </w:pPr>
    </w:p>
    <w:p w:rsidR="00520AAB" w:rsidRDefault="00520AAB">
      <w:pPr>
        <w:rPr>
          <w:b/>
          <w:sz w:val="22"/>
          <w:szCs w:val="22"/>
        </w:rPr>
      </w:pPr>
    </w:p>
    <w:p w:rsidR="00322E4E" w:rsidRDefault="00322E4E">
      <w:pPr>
        <w:rPr>
          <w:b/>
          <w:sz w:val="22"/>
          <w:szCs w:val="22"/>
        </w:rPr>
      </w:pPr>
    </w:p>
    <w:p w:rsidR="00E262AC" w:rsidRDefault="00B76D10">
      <w:pPr>
        <w:rPr>
          <w:b/>
          <w:sz w:val="22"/>
          <w:szCs w:val="22"/>
        </w:rPr>
      </w:pPr>
      <w:r>
        <w:rPr>
          <w:b/>
          <w:sz w:val="22"/>
          <w:szCs w:val="22"/>
        </w:rPr>
        <w:t xml:space="preserve">Grading Criteria: </w:t>
      </w:r>
    </w:p>
    <w:p w:rsidR="00322E4E" w:rsidRDefault="00322E4E"/>
    <w:tbl>
      <w:tblP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40"/>
        <w:gridCol w:w="224"/>
        <w:gridCol w:w="1205"/>
        <w:gridCol w:w="114"/>
        <w:gridCol w:w="1272"/>
        <w:gridCol w:w="941"/>
        <w:gridCol w:w="1203"/>
        <w:gridCol w:w="1174"/>
        <w:gridCol w:w="1015"/>
        <w:gridCol w:w="1266"/>
        <w:gridCol w:w="954"/>
      </w:tblGrid>
      <w:tr w:rsidR="00520AAB" w:rsidRPr="00520AAB" w:rsidTr="00520AAB">
        <w:trPr>
          <w:gridAfter w:val="1"/>
          <w:wAfter w:w="457" w:type="pct"/>
        </w:trPr>
        <w:tc>
          <w:tcPr>
            <w:tcW w:w="4543" w:type="pct"/>
            <w:gridSpan w:val="11"/>
            <w:tcBorders>
              <w:right w:val="double" w:sz="4" w:space="0" w:color="auto"/>
            </w:tcBorders>
            <w:shd w:val="clear" w:color="auto" w:fill="auto"/>
            <w:vAlign w:val="center"/>
          </w:tcPr>
          <w:p w:rsidR="00520AAB" w:rsidRPr="00520AAB" w:rsidRDefault="00520AAB" w:rsidP="00520AAB">
            <w:pPr>
              <w:jc w:val="center"/>
              <w:rPr>
                <w:rFonts w:ascii="Century Gothic" w:eastAsia="SimSun" w:hAnsi="Century Gothic"/>
                <w:color w:val="auto"/>
                <w:lang w:eastAsia="zh-CN"/>
              </w:rPr>
            </w:pPr>
            <w:r w:rsidRPr="00520AAB">
              <w:rPr>
                <w:rFonts w:ascii="Century Gothic" w:eastAsia="SimSun" w:hAnsi="Century Gothic"/>
                <w:color w:val="auto"/>
                <w:lang w:eastAsia="zh-CN"/>
              </w:rPr>
              <w:t>High School Courses</w:t>
            </w:r>
          </w:p>
        </w:tc>
      </w:tr>
      <w:tr w:rsidR="00520AAB" w:rsidRPr="00520AAB" w:rsidTr="00520AAB">
        <w:trPr>
          <w:gridAfter w:val="1"/>
          <w:wAfter w:w="457" w:type="pct"/>
        </w:trPr>
        <w:tc>
          <w:tcPr>
            <w:tcW w:w="630" w:type="pct"/>
            <w:gridSpan w:val="3"/>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Numerical Grade</w:t>
            </w:r>
          </w:p>
        </w:tc>
        <w:tc>
          <w:tcPr>
            <w:tcW w:w="576" w:type="pct"/>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Letter Grade</w:t>
            </w:r>
          </w:p>
        </w:tc>
        <w:tc>
          <w:tcPr>
            <w:tcW w:w="662" w:type="pct"/>
            <w:gridSpan w:val="2"/>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Advanced Placement</w:t>
            </w:r>
          </w:p>
        </w:tc>
        <w:tc>
          <w:tcPr>
            <w:tcW w:w="450" w:type="pct"/>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Honors</w:t>
            </w:r>
          </w:p>
        </w:tc>
        <w:tc>
          <w:tcPr>
            <w:tcW w:w="575" w:type="pct"/>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Standard Classes</w:t>
            </w:r>
          </w:p>
        </w:tc>
        <w:tc>
          <w:tcPr>
            <w:tcW w:w="561" w:type="pct"/>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Receives Credit</w:t>
            </w:r>
          </w:p>
        </w:tc>
        <w:tc>
          <w:tcPr>
            <w:tcW w:w="485" w:type="pct"/>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Include in GPA</w:t>
            </w:r>
          </w:p>
        </w:tc>
        <w:tc>
          <w:tcPr>
            <w:tcW w:w="605" w:type="pct"/>
            <w:tcBorders>
              <w:right w:val="double" w:sz="4" w:space="0" w:color="auto"/>
            </w:tcBorders>
            <w:shd w:val="clear" w:color="auto" w:fill="auto"/>
            <w:vAlign w:val="center"/>
          </w:tcPr>
          <w:p w:rsidR="00520AAB" w:rsidRPr="00520AAB" w:rsidRDefault="00520AAB" w:rsidP="00520AAB">
            <w:pPr>
              <w:jc w:val="cente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Weighted Credit</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93-100</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A</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5.0</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4.5</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4.0 </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90-92</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A-</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4.7</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4.2</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3.7 </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87-89</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B+</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4.3</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3.8</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3.3 </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83-86</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B</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4.0</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3.5</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3.0 </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80-82</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B-</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3.7</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3.2</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2.7</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77-79</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C+</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3.3</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2.8</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2.3</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73-76</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C</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3.0</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2.5</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2.0</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70-72</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C-</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1.7 </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1.7 </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 xml:space="preserve">1.7 </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67-69</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D+</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1.3</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1.3</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1.3</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60-66</w:t>
            </w: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D</w:t>
            </w:r>
          </w:p>
        </w:tc>
        <w:tc>
          <w:tcPr>
            <w:tcW w:w="662" w:type="pct"/>
            <w:gridSpan w:val="2"/>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1.0</w:t>
            </w:r>
          </w:p>
        </w:tc>
        <w:tc>
          <w:tcPr>
            <w:tcW w:w="450"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1.0</w:t>
            </w:r>
          </w:p>
        </w:tc>
        <w:tc>
          <w:tcPr>
            <w:tcW w:w="57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1.0</w:t>
            </w: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485"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59-40</w:t>
            </w:r>
          </w:p>
        </w:tc>
        <w:tc>
          <w:tcPr>
            <w:tcW w:w="576" w:type="pct"/>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F</w:t>
            </w:r>
          </w:p>
        </w:tc>
        <w:tc>
          <w:tcPr>
            <w:tcW w:w="662" w:type="pct"/>
            <w:gridSpan w:val="2"/>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0.0</w:t>
            </w:r>
          </w:p>
        </w:tc>
        <w:tc>
          <w:tcPr>
            <w:tcW w:w="450" w:type="pct"/>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0.0</w:t>
            </w:r>
          </w:p>
        </w:tc>
        <w:tc>
          <w:tcPr>
            <w:tcW w:w="575" w:type="pct"/>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0.0</w:t>
            </w:r>
          </w:p>
        </w:tc>
        <w:tc>
          <w:tcPr>
            <w:tcW w:w="561" w:type="pct"/>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c>
          <w:tcPr>
            <w:tcW w:w="485" w:type="pct"/>
            <w:tcBorders>
              <w:bottom w:val="sing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Y</w:t>
            </w:r>
          </w:p>
        </w:tc>
        <w:tc>
          <w:tcPr>
            <w:tcW w:w="605" w:type="pct"/>
            <w:tcBorders>
              <w:bottom w:val="single" w:sz="4" w:space="0" w:color="auto"/>
              <w:right w:val="double" w:sz="4" w:space="0" w:color="auto"/>
            </w:tcBorders>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I</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NG</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NR</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P</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WP</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rPr>
          <w:gridAfter w:val="1"/>
          <w:wAfter w:w="457" w:type="pct"/>
        </w:trPr>
        <w:tc>
          <w:tcPr>
            <w:tcW w:w="630" w:type="pct"/>
            <w:gridSpan w:val="3"/>
            <w:shd w:val="clear" w:color="auto" w:fill="auto"/>
          </w:tcPr>
          <w:p w:rsidR="00520AAB" w:rsidRPr="00520AAB" w:rsidRDefault="00520AAB" w:rsidP="00520AAB">
            <w:pPr>
              <w:jc w:val="both"/>
              <w:rPr>
                <w:rFonts w:ascii="Century Gothic" w:eastAsia="SimSun" w:hAnsi="Century Gothic"/>
                <w:color w:val="auto"/>
                <w:sz w:val="22"/>
                <w:szCs w:val="22"/>
                <w:lang w:eastAsia="zh-CN"/>
              </w:rPr>
            </w:pPr>
          </w:p>
        </w:tc>
        <w:tc>
          <w:tcPr>
            <w:tcW w:w="576" w:type="pct"/>
            <w:shd w:val="clear" w:color="auto" w:fill="auto"/>
          </w:tcPr>
          <w:p w:rsidR="00520AAB" w:rsidRPr="00520AAB" w:rsidRDefault="00520AAB" w:rsidP="00520AAB">
            <w:pPr>
              <w:rPr>
                <w:rFonts w:ascii="Century Gothic" w:eastAsia="SimSun" w:hAnsi="Century Gothic" w:cs="Arial"/>
                <w:color w:val="auto"/>
                <w:sz w:val="22"/>
                <w:szCs w:val="22"/>
                <w:lang w:eastAsia="zh-CN"/>
              </w:rPr>
            </w:pPr>
            <w:r w:rsidRPr="00520AAB">
              <w:rPr>
                <w:rFonts w:ascii="Century Gothic" w:eastAsia="SimSun" w:hAnsi="Century Gothic" w:cs="Arial"/>
                <w:color w:val="auto"/>
                <w:sz w:val="22"/>
                <w:szCs w:val="22"/>
                <w:lang w:eastAsia="zh-CN"/>
              </w:rPr>
              <w:t>WF</w:t>
            </w:r>
          </w:p>
        </w:tc>
        <w:tc>
          <w:tcPr>
            <w:tcW w:w="662" w:type="pct"/>
            <w:gridSpan w:val="2"/>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450"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75" w:type="pct"/>
            <w:shd w:val="clear" w:color="auto" w:fill="CCCCCC"/>
          </w:tcPr>
          <w:p w:rsidR="00520AAB" w:rsidRPr="00520AAB" w:rsidRDefault="00520AAB" w:rsidP="00520AAB">
            <w:pPr>
              <w:rPr>
                <w:rFonts w:ascii="Century Gothic" w:eastAsia="SimSun" w:hAnsi="Century Gothic" w:cs="Arial"/>
                <w:color w:val="auto"/>
                <w:sz w:val="22"/>
                <w:szCs w:val="22"/>
                <w:lang w:eastAsia="zh-CN"/>
              </w:rPr>
            </w:pPr>
          </w:p>
        </w:tc>
        <w:tc>
          <w:tcPr>
            <w:tcW w:w="561"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485" w:type="pct"/>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c>
          <w:tcPr>
            <w:tcW w:w="605" w:type="pct"/>
            <w:tcBorders>
              <w:right w:val="double" w:sz="4" w:space="0" w:color="auto"/>
            </w:tcBorders>
            <w:shd w:val="clear" w:color="auto" w:fill="auto"/>
          </w:tcPr>
          <w:p w:rsidR="00520AAB" w:rsidRPr="00520AAB" w:rsidRDefault="00520AAB" w:rsidP="00520AAB">
            <w:pPr>
              <w:rPr>
                <w:rFonts w:ascii="Century Gothic" w:eastAsia="SimSun" w:hAnsi="Century Gothic"/>
                <w:color w:val="auto"/>
                <w:lang w:eastAsia="zh-CN"/>
              </w:rPr>
            </w:pPr>
            <w:r w:rsidRPr="00520AAB">
              <w:rPr>
                <w:rFonts w:ascii="Century Gothic" w:eastAsia="SimSun" w:hAnsi="Century Gothic" w:cs="Arial"/>
                <w:color w:val="auto"/>
                <w:sz w:val="22"/>
                <w:szCs w:val="22"/>
                <w:lang w:eastAsia="zh-CN"/>
              </w:rPr>
              <w:t>N</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343"/>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 xml:space="preserve">I </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Incomplete</w:t>
            </w:r>
          </w:p>
        </w:tc>
        <w:tc>
          <w:tcPr>
            <w:tcW w:w="3741" w:type="pct"/>
            <w:gridSpan w:val="7"/>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 xml:space="preserve">Given when a student has not completed sufficient assignments and assessments to calculate a valid quarter grade. Students will work with the teacher to resolve the incomplete within 10 days of the end of the quarter. </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183"/>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NG</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Not Graded</w:t>
            </w:r>
          </w:p>
        </w:tc>
        <w:tc>
          <w:tcPr>
            <w:tcW w:w="3741" w:type="pct"/>
            <w:gridSpan w:val="7"/>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Given when a student exits a class in the middle of the quarter to enroll in a more appropriate placement.</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343"/>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NR</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Not Required</w:t>
            </w:r>
          </w:p>
        </w:tc>
        <w:tc>
          <w:tcPr>
            <w:tcW w:w="3741" w:type="pct"/>
            <w:gridSpan w:val="7"/>
            <w:shd w:val="clear" w:color="auto" w:fill="auto"/>
          </w:tcPr>
          <w:p w:rsidR="00520AAB" w:rsidRPr="00520AAB" w:rsidRDefault="00520AAB" w:rsidP="00520AAB">
            <w:pPr>
              <w:rPr>
                <w:rFonts w:ascii="Century Gothic" w:eastAsia="SimSun" w:hAnsi="Century Gothic"/>
                <w:b/>
                <w:color w:val="auto"/>
                <w:sz w:val="20"/>
                <w:szCs w:val="20"/>
                <w:lang w:eastAsia="zh-CN"/>
              </w:rPr>
            </w:pPr>
            <w:r w:rsidRPr="00520AAB">
              <w:rPr>
                <w:rFonts w:ascii="Century Gothic" w:eastAsia="SimSun" w:hAnsi="Century Gothic"/>
                <w:color w:val="auto"/>
                <w:sz w:val="20"/>
                <w:szCs w:val="20"/>
                <w:lang w:eastAsia="zh-CN"/>
              </w:rPr>
              <w:t>Given when a particular assignment is not required of an individual student for such reasons as medical, IEP accommodation, senior experience, etc.</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183"/>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P</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Pass</w:t>
            </w:r>
          </w:p>
        </w:tc>
        <w:tc>
          <w:tcPr>
            <w:tcW w:w="3741" w:type="pct"/>
            <w:gridSpan w:val="7"/>
            <w:shd w:val="clear" w:color="auto" w:fill="auto"/>
          </w:tcPr>
          <w:p w:rsidR="00520AAB" w:rsidRPr="00520AAB" w:rsidRDefault="00520AAB" w:rsidP="00520AAB">
            <w:pPr>
              <w:rPr>
                <w:rFonts w:ascii="Century Gothic" w:eastAsia="SimSun" w:hAnsi="Century Gothic"/>
                <w:b/>
                <w:color w:val="auto"/>
                <w:sz w:val="20"/>
                <w:szCs w:val="20"/>
                <w:lang w:eastAsia="zh-CN"/>
              </w:rPr>
            </w:pPr>
            <w:r w:rsidRPr="00520AAB">
              <w:rPr>
                <w:rFonts w:ascii="Century Gothic" w:eastAsia="SimSun" w:hAnsi="Century Gothic"/>
                <w:color w:val="auto"/>
                <w:sz w:val="20"/>
                <w:szCs w:val="20"/>
                <w:lang w:eastAsia="zh-CN"/>
              </w:rPr>
              <w:t>Given for pass/fail classes such as PACE, SOL Prep, etc.</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172"/>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WF</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Withdraw Failing</w:t>
            </w:r>
          </w:p>
        </w:tc>
        <w:tc>
          <w:tcPr>
            <w:tcW w:w="3741" w:type="pct"/>
            <w:gridSpan w:val="7"/>
            <w:shd w:val="clear" w:color="auto" w:fill="auto"/>
          </w:tcPr>
          <w:p w:rsidR="00520AAB" w:rsidRPr="00520AAB" w:rsidRDefault="00520AAB" w:rsidP="00520AAB">
            <w:pPr>
              <w:rPr>
                <w:rFonts w:ascii="Century Gothic" w:eastAsia="SimSun" w:hAnsi="Century Gothic"/>
                <w:b/>
                <w:color w:val="auto"/>
                <w:sz w:val="20"/>
                <w:szCs w:val="20"/>
                <w:lang w:eastAsia="zh-CN"/>
              </w:rPr>
            </w:pPr>
            <w:r w:rsidRPr="00520AAB">
              <w:rPr>
                <w:rFonts w:ascii="Century Gothic" w:eastAsia="SimSun" w:hAnsi="Century Gothic"/>
                <w:color w:val="auto"/>
                <w:sz w:val="20"/>
                <w:szCs w:val="20"/>
                <w:lang w:eastAsia="zh-CN"/>
              </w:rPr>
              <w:t>Given when a student withdraws from a class with a current grade of F.</w:t>
            </w:r>
          </w:p>
        </w:tc>
      </w:tr>
      <w:tr w:rsidR="00520AAB" w:rsidRPr="00520AAB" w:rsidTr="0052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pct"/>
          <w:trHeight w:val="172"/>
        </w:trPr>
        <w:tc>
          <w:tcPr>
            <w:tcW w:w="258" w:type="pct"/>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WP</w:t>
            </w:r>
          </w:p>
        </w:tc>
        <w:tc>
          <w:tcPr>
            <w:tcW w:w="737" w:type="pct"/>
            <w:gridSpan w:val="3"/>
            <w:shd w:val="clear" w:color="auto" w:fill="auto"/>
          </w:tcPr>
          <w:p w:rsidR="00520AAB" w:rsidRPr="00520AAB" w:rsidRDefault="00520AAB" w:rsidP="00520AAB">
            <w:pPr>
              <w:rPr>
                <w:rFonts w:ascii="Century Gothic" w:eastAsia="SimSun" w:hAnsi="Century Gothic"/>
                <w:color w:val="auto"/>
                <w:sz w:val="20"/>
                <w:szCs w:val="20"/>
                <w:lang w:eastAsia="zh-CN"/>
              </w:rPr>
            </w:pPr>
            <w:r w:rsidRPr="00520AAB">
              <w:rPr>
                <w:rFonts w:ascii="Century Gothic" w:eastAsia="SimSun" w:hAnsi="Century Gothic"/>
                <w:color w:val="auto"/>
                <w:sz w:val="20"/>
                <w:szCs w:val="20"/>
                <w:lang w:eastAsia="zh-CN"/>
              </w:rPr>
              <w:t>Withdraw Passing</w:t>
            </w:r>
          </w:p>
        </w:tc>
        <w:tc>
          <w:tcPr>
            <w:tcW w:w="3741" w:type="pct"/>
            <w:gridSpan w:val="7"/>
            <w:shd w:val="clear" w:color="auto" w:fill="auto"/>
          </w:tcPr>
          <w:p w:rsidR="00520AAB" w:rsidRPr="00520AAB" w:rsidRDefault="00520AAB" w:rsidP="00520AAB">
            <w:pPr>
              <w:rPr>
                <w:rFonts w:ascii="Century Gothic" w:eastAsia="SimSun" w:hAnsi="Century Gothic"/>
                <w:b/>
                <w:color w:val="auto"/>
                <w:sz w:val="20"/>
                <w:szCs w:val="20"/>
                <w:lang w:eastAsia="zh-CN"/>
              </w:rPr>
            </w:pPr>
            <w:r w:rsidRPr="00520AAB">
              <w:rPr>
                <w:rFonts w:ascii="Century Gothic" w:eastAsia="SimSun" w:hAnsi="Century Gothic"/>
                <w:color w:val="auto"/>
                <w:sz w:val="20"/>
                <w:szCs w:val="20"/>
                <w:lang w:eastAsia="zh-CN"/>
              </w:rPr>
              <w:t>Given when a student withdraws from a class with a passing grade.</w:t>
            </w:r>
          </w:p>
        </w:tc>
      </w:tr>
    </w:tbl>
    <w:p w:rsidR="00E262AC" w:rsidRDefault="00E262AC"/>
    <w:p w:rsidR="00E262AC" w:rsidRDefault="00B76D10">
      <w:r>
        <w:rPr>
          <w:b/>
          <w:sz w:val="22"/>
          <w:szCs w:val="22"/>
        </w:rPr>
        <w:t>Class Specific Assessment Grading Policy:</w:t>
      </w:r>
    </w:p>
    <w:p w:rsidR="00E262AC" w:rsidRDefault="005678CE">
      <w:pPr>
        <w:numPr>
          <w:ilvl w:val="0"/>
          <w:numId w:val="2"/>
        </w:numPr>
        <w:ind w:hanging="360"/>
        <w:contextualSpacing/>
        <w:rPr>
          <w:sz w:val="22"/>
          <w:szCs w:val="22"/>
        </w:rPr>
      </w:pPr>
      <w:r>
        <w:rPr>
          <w:sz w:val="22"/>
          <w:szCs w:val="22"/>
        </w:rPr>
        <w:t>All assignments/projects are due on time.  Anything not turned in within 5 days of the end of the quarter will not be graded.</w:t>
      </w:r>
    </w:p>
    <w:p w:rsidR="00E262AC" w:rsidRDefault="00E262AC"/>
    <w:p w:rsidR="00E262AC" w:rsidRDefault="00B76D10">
      <w:r>
        <w:rPr>
          <w:b/>
          <w:sz w:val="22"/>
          <w:szCs w:val="22"/>
        </w:rPr>
        <w:t xml:space="preserve">NOTE:  All policies listed in the “Common Course Expectations” document posted on Blackboard, including, the ACPS Honor Code </w:t>
      </w:r>
      <w:hyperlink r:id="rId10">
        <w:r>
          <w:rPr>
            <w:b/>
            <w:color w:val="0000FF"/>
            <w:sz w:val="22"/>
            <w:szCs w:val="22"/>
            <w:u w:val="single"/>
          </w:rPr>
          <w:t>http://www.acps.k12.va.us/board/manual/jfc-r2.pdf</w:t>
        </w:r>
      </w:hyperlink>
      <w:r>
        <w:rPr>
          <w:b/>
          <w:sz w:val="22"/>
          <w:szCs w:val="22"/>
        </w:rPr>
        <w:t xml:space="preserve"> ), apply to all classes at T.C. Williams High School. </w:t>
      </w:r>
    </w:p>
    <w:sectPr w:rsidR="00E262A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8A" w:rsidRDefault="0008228A">
      <w:r>
        <w:separator/>
      </w:r>
    </w:p>
  </w:endnote>
  <w:endnote w:type="continuationSeparator" w:id="0">
    <w:p w:rsidR="0008228A" w:rsidRDefault="0008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AC" w:rsidRDefault="00B0222E">
    <w:pPr>
      <w:jc w:val="center"/>
    </w:pPr>
    <w:r>
      <w:rPr>
        <w:b/>
      </w:rPr>
      <w:t>Every Titan Succeeds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8A" w:rsidRDefault="0008228A">
      <w:r>
        <w:separator/>
      </w:r>
    </w:p>
  </w:footnote>
  <w:footnote w:type="continuationSeparator" w:id="0">
    <w:p w:rsidR="0008228A" w:rsidRDefault="00082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EEB"/>
    <w:multiLevelType w:val="hybridMultilevel"/>
    <w:tmpl w:val="E55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97EA8"/>
    <w:multiLevelType w:val="multilevel"/>
    <w:tmpl w:val="AB963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5D62330"/>
    <w:multiLevelType w:val="multilevel"/>
    <w:tmpl w:val="1EECA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81D77B5"/>
    <w:multiLevelType w:val="multilevel"/>
    <w:tmpl w:val="6706A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FB6F53"/>
    <w:multiLevelType w:val="hybridMultilevel"/>
    <w:tmpl w:val="7B6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36554"/>
    <w:multiLevelType w:val="hybridMultilevel"/>
    <w:tmpl w:val="408E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FE7836"/>
    <w:multiLevelType w:val="hybridMultilevel"/>
    <w:tmpl w:val="7D546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23763"/>
    <w:multiLevelType w:val="hybridMultilevel"/>
    <w:tmpl w:val="FC8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5553B"/>
    <w:multiLevelType w:val="hybridMultilevel"/>
    <w:tmpl w:val="1D3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21C2A"/>
    <w:multiLevelType w:val="hybridMultilevel"/>
    <w:tmpl w:val="39F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F1A1A"/>
    <w:multiLevelType w:val="multilevel"/>
    <w:tmpl w:val="38DA86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8D92163"/>
    <w:multiLevelType w:val="hybridMultilevel"/>
    <w:tmpl w:val="1A4C4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1417B"/>
    <w:multiLevelType w:val="multilevel"/>
    <w:tmpl w:val="7A5227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10"/>
  </w:num>
  <w:num w:numId="4">
    <w:abstractNumId w:val="3"/>
  </w:num>
  <w:num w:numId="5">
    <w:abstractNumId w:val="12"/>
  </w:num>
  <w:num w:numId="6">
    <w:abstractNumId w:val="11"/>
  </w:num>
  <w:num w:numId="7">
    <w:abstractNumId w:val="9"/>
  </w:num>
  <w:num w:numId="8">
    <w:abstractNumId w:val="6"/>
  </w:num>
  <w:num w:numId="9">
    <w:abstractNumId w:val="4"/>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2AC"/>
    <w:rsid w:val="0008228A"/>
    <w:rsid w:val="000A01FD"/>
    <w:rsid w:val="000D1F20"/>
    <w:rsid w:val="0016629A"/>
    <w:rsid w:val="002C3F00"/>
    <w:rsid w:val="00304381"/>
    <w:rsid w:val="00322E4E"/>
    <w:rsid w:val="00346AB1"/>
    <w:rsid w:val="004E668B"/>
    <w:rsid w:val="00520AAB"/>
    <w:rsid w:val="0053050A"/>
    <w:rsid w:val="005407D2"/>
    <w:rsid w:val="005657D4"/>
    <w:rsid w:val="005678CE"/>
    <w:rsid w:val="005B7BEF"/>
    <w:rsid w:val="00647D0F"/>
    <w:rsid w:val="006B6D85"/>
    <w:rsid w:val="006C7962"/>
    <w:rsid w:val="008A776D"/>
    <w:rsid w:val="00986556"/>
    <w:rsid w:val="009D0E13"/>
    <w:rsid w:val="00A52C0C"/>
    <w:rsid w:val="00B0222E"/>
    <w:rsid w:val="00B76D10"/>
    <w:rsid w:val="00BB0D5F"/>
    <w:rsid w:val="00DF79E2"/>
    <w:rsid w:val="00E262AC"/>
    <w:rsid w:val="00E76776"/>
    <w:rsid w:val="00E916C8"/>
    <w:rsid w:val="00F91679"/>
    <w:rsid w:val="00FD0462"/>
    <w:rsid w:val="00FF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22E"/>
    <w:pPr>
      <w:tabs>
        <w:tab w:val="center" w:pos="4680"/>
        <w:tab w:val="right" w:pos="9360"/>
      </w:tabs>
    </w:pPr>
  </w:style>
  <w:style w:type="character" w:customStyle="1" w:styleId="HeaderChar">
    <w:name w:val="Header Char"/>
    <w:basedOn w:val="DefaultParagraphFont"/>
    <w:link w:val="Header"/>
    <w:uiPriority w:val="99"/>
    <w:rsid w:val="00B0222E"/>
  </w:style>
  <w:style w:type="paragraph" w:styleId="Footer">
    <w:name w:val="footer"/>
    <w:basedOn w:val="Normal"/>
    <w:link w:val="FooterChar"/>
    <w:uiPriority w:val="99"/>
    <w:unhideWhenUsed/>
    <w:rsid w:val="00B0222E"/>
    <w:pPr>
      <w:tabs>
        <w:tab w:val="center" w:pos="4680"/>
        <w:tab w:val="right" w:pos="9360"/>
      </w:tabs>
    </w:pPr>
  </w:style>
  <w:style w:type="character" w:customStyle="1" w:styleId="FooterChar">
    <w:name w:val="Footer Char"/>
    <w:basedOn w:val="DefaultParagraphFont"/>
    <w:link w:val="Footer"/>
    <w:uiPriority w:val="99"/>
    <w:rsid w:val="00B0222E"/>
  </w:style>
  <w:style w:type="paragraph" w:styleId="BalloonText">
    <w:name w:val="Balloon Text"/>
    <w:basedOn w:val="Normal"/>
    <w:link w:val="BalloonTextChar"/>
    <w:uiPriority w:val="99"/>
    <w:semiHidden/>
    <w:unhideWhenUsed/>
    <w:rsid w:val="000A01FD"/>
    <w:rPr>
      <w:rFonts w:ascii="Tahoma" w:hAnsi="Tahoma" w:cs="Tahoma"/>
      <w:sz w:val="16"/>
      <w:szCs w:val="16"/>
    </w:rPr>
  </w:style>
  <w:style w:type="character" w:customStyle="1" w:styleId="BalloonTextChar">
    <w:name w:val="Balloon Text Char"/>
    <w:basedOn w:val="DefaultParagraphFont"/>
    <w:link w:val="BalloonText"/>
    <w:uiPriority w:val="99"/>
    <w:semiHidden/>
    <w:rsid w:val="000A01FD"/>
    <w:rPr>
      <w:rFonts w:ascii="Tahoma" w:hAnsi="Tahoma" w:cs="Tahoma"/>
      <w:sz w:val="16"/>
      <w:szCs w:val="16"/>
    </w:rPr>
  </w:style>
  <w:style w:type="paragraph" w:styleId="ListParagraph">
    <w:name w:val="List Paragraph"/>
    <w:basedOn w:val="Normal"/>
    <w:uiPriority w:val="34"/>
    <w:qFormat/>
    <w:rsid w:val="008A7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22E"/>
    <w:pPr>
      <w:tabs>
        <w:tab w:val="center" w:pos="4680"/>
        <w:tab w:val="right" w:pos="9360"/>
      </w:tabs>
    </w:pPr>
  </w:style>
  <w:style w:type="character" w:customStyle="1" w:styleId="HeaderChar">
    <w:name w:val="Header Char"/>
    <w:basedOn w:val="DefaultParagraphFont"/>
    <w:link w:val="Header"/>
    <w:uiPriority w:val="99"/>
    <w:rsid w:val="00B0222E"/>
  </w:style>
  <w:style w:type="paragraph" w:styleId="Footer">
    <w:name w:val="footer"/>
    <w:basedOn w:val="Normal"/>
    <w:link w:val="FooterChar"/>
    <w:uiPriority w:val="99"/>
    <w:unhideWhenUsed/>
    <w:rsid w:val="00B0222E"/>
    <w:pPr>
      <w:tabs>
        <w:tab w:val="center" w:pos="4680"/>
        <w:tab w:val="right" w:pos="9360"/>
      </w:tabs>
    </w:pPr>
  </w:style>
  <w:style w:type="character" w:customStyle="1" w:styleId="FooterChar">
    <w:name w:val="Footer Char"/>
    <w:basedOn w:val="DefaultParagraphFont"/>
    <w:link w:val="Footer"/>
    <w:uiPriority w:val="99"/>
    <w:rsid w:val="00B0222E"/>
  </w:style>
  <w:style w:type="paragraph" w:styleId="BalloonText">
    <w:name w:val="Balloon Text"/>
    <w:basedOn w:val="Normal"/>
    <w:link w:val="BalloonTextChar"/>
    <w:uiPriority w:val="99"/>
    <w:semiHidden/>
    <w:unhideWhenUsed/>
    <w:rsid w:val="000A01FD"/>
    <w:rPr>
      <w:rFonts w:ascii="Tahoma" w:hAnsi="Tahoma" w:cs="Tahoma"/>
      <w:sz w:val="16"/>
      <w:szCs w:val="16"/>
    </w:rPr>
  </w:style>
  <w:style w:type="character" w:customStyle="1" w:styleId="BalloonTextChar">
    <w:name w:val="Balloon Text Char"/>
    <w:basedOn w:val="DefaultParagraphFont"/>
    <w:link w:val="BalloonText"/>
    <w:uiPriority w:val="99"/>
    <w:semiHidden/>
    <w:rsid w:val="000A01FD"/>
    <w:rPr>
      <w:rFonts w:ascii="Tahoma" w:hAnsi="Tahoma" w:cs="Tahoma"/>
      <w:sz w:val="16"/>
      <w:szCs w:val="16"/>
    </w:rPr>
  </w:style>
  <w:style w:type="paragraph" w:styleId="ListParagraph">
    <w:name w:val="List Paragraph"/>
    <w:basedOn w:val="Normal"/>
    <w:uiPriority w:val="34"/>
    <w:qFormat/>
    <w:rsid w:val="008A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2795">
      <w:bodyDiv w:val="1"/>
      <w:marLeft w:val="0"/>
      <w:marRight w:val="0"/>
      <w:marTop w:val="0"/>
      <w:marBottom w:val="0"/>
      <w:divBdr>
        <w:top w:val="none" w:sz="0" w:space="0" w:color="auto"/>
        <w:left w:val="none" w:sz="0" w:space="0" w:color="auto"/>
        <w:bottom w:val="none" w:sz="0" w:space="0" w:color="auto"/>
        <w:right w:val="none" w:sz="0" w:space="0" w:color="auto"/>
      </w:divBdr>
      <w:divsChild>
        <w:div w:id="1598323346">
          <w:marLeft w:val="0"/>
          <w:marRight w:val="0"/>
          <w:marTop w:val="0"/>
          <w:marBottom w:val="0"/>
          <w:divBdr>
            <w:top w:val="none" w:sz="0" w:space="0" w:color="auto"/>
            <w:left w:val="none" w:sz="0" w:space="0" w:color="auto"/>
            <w:bottom w:val="none" w:sz="0" w:space="0" w:color="auto"/>
            <w:right w:val="none" w:sz="0" w:space="0" w:color="auto"/>
          </w:divBdr>
        </w:div>
        <w:div w:id="1720088625">
          <w:marLeft w:val="0"/>
          <w:marRight w:val="0"/>
          <w:marTop w:val="0"/>
          <w:marBottom w:val="0"/>
          <w:divBdr>
            <w:top w:val="none" w:sz="0" w:space="0" w:color="auto"/>
            <w:left w:val="none" w:sz="0" w:space="0" w:color="auto"/>
            <w:bottom w:val="none" w:sz="0" w:space="0" w:color="auto"/>
            <w:right w:val="none" w:sz="0" w:space="0" w:color="auto"/>
          </w:divBdr>
        </w:div>
        <w:div w:id="186527784">
          <w:marLeft w:val="0"/>
          <w:marRight w:val="0"/>
          <w:marTop w:val="0"/>
          <w:marBottom w:val="0"/>
          <w:divBdr>
            <w:top w:val="none" w:sz="0" w:space="0" w:color="auto"/>
            <w:left w:val="none" w:sz="0" w:space="0" w:color="auto"/>
            <w:bottom w:val="none" w:sz="0" w:space="0" w:color="auto"/>
            <w:right w:val="none" w:sz="0" w:space="0" w:color="auto"/>
          </w:divBdr>
        </w:div>
        <w:div w:id="209728185">
          <w:marLeft w:val="0"/>
          <w:marRight w:val="0"/>
          <w:marTop w:val="0"/>
          <w:marBottom w:val="0"/>
          <w:divBdr>
            <w:top w:val="none" w:sz="0" w:space="0" w:color="auto"/>
            <w:left w:val="none" w:sz="0" w:space="0" w:color="auto"/>
            <w:bottom w:val="none" w:sz="0" w:space="0" w:color="auto"/>
            <w:right w:val="none" w:sz="0" w:space="0" w:color="auto"/>
          </w:divBdr>
        </w:div>
        <w:div w:id="181018350">
          <w:marLeft w:val="0"/>
          <w:marRight w:val="0"/>
          <w:marTop w:val="0"/>
          <w:marBottom w:val="0"/>
          <w:divBdr>
            <w:top w:val="none" w:sz="0" w:space="0" w:color="auto"/>
            <w:left w:val="none" w:sz="0" w:space="0" w:color="auto"/>
            <w:bottom w:val="none" w:sz="0" w:space="0" w:color="auto"/>
            <w:right w:val="none" w:sz="0" w:space="0" w:color="auto"/>
          </w:divBdr>
        </w:div>
        <w:div w:id="545215825">
          <w:marLeft w:val="0"/>
          <w:marRight w:val="0"/>
          <w:marTop w:val="0"/>
          <w:marBottom w:val="0"/>
          <w:divBdr>
            <w:top w:val="none" w:sz="0" w:space="0" w:color="auto"/>
            <w:left w:val="none" w:sz="0" w:space="0" w:color="auto"/>
            <w:bottom w:val="none" w:sz="0" w:space="0" w:color="auto"/>
            <w:right w:val="none" w:sz="0" w:space="0" w:color="auto"/>
          </w:divBdr>
        </w:div>
        <w:div w:id="675426848">
          <w:marLeft w:val="0"/>
          <w:marRight w:val="0"/>
          <w:marTop w:val="0"/>
          <w:marBottom w:val="0"/>
          <w:divBdr>
            <w:top w:val="none" w:sz="0" w:space="0" w:color="auto"/>
            <w:left w:val="none" w:sz="0" w:space="0" w:color="auto"/>
            <w:bottom w:val="none" w:sz="0" w:space="0" w:color="auto"/>
            <w:right w:val="none" w:sz="0" w:space="0" w:color="auto"/>
          </w:divBdr>
        </w:div>
        <w:div w:id="2112776694">
          <w:marLeft w:val="0"/>
          <w:marRight w:val="0"/>
          <w:marTop w:val="0"/>
          <w:marBottom w:val="0"/>
          <w:divBdr>
            <w:top w:val="none" w:sz="0" w:space="0" w:color="auto"/>
            <w:left w:val="none" w:sz="0" w:space="0" w:color="auto"/>
            <w:bottom w:val="none" w:sz="0" w:space="0" w:color="auto"/>
            <w:right w:val="none" w:sz="0" w:space="0" w:color="auto"/>
          </w:divBdr>
        </w:div>
        <w:div w:id="889078848">
          <w:marLeft w:val="0"/>
          <w:marRight w:val="0"/>
          <w:marTop w:val="0"/>
          <w:marBottom w:val="0"/>
          <w:divBdr>
            <w:top w:val="none" w:sz="0" w:space="0" w:color="auto"/>
            <w:left w:val="none" w:sz="0" w:space="0" w:color="auto"/>
            <w:bottom w:val="none" w:sz="0" w:space="0" w:color="auto"/>
            <w:right w:val="none" w:sz="0" w:space="0" w:color="auto"/>
          </w:divBdr>
        </w:div>
        <w:div w:id="1780569159">
          <w:marLeft w:val="0"/>
          <w:marRight w:val="0"/>
          <w:marTop w:val="0"/>
          <w:marBottom w:val="0"/>
          <w:divBdr>
            <w:top w:val="none" w:sz="0" w:space="0" w:color="auto"/>
            <w:left w:val="none" w:sz="0" w:space="0" w:color="auto"/>
            <w:bottom w:val="none" w:sz="0" w:space="0" w:color="auto"/>
            <w:right w:val="none" w:sz="0" w:space="0" w:color="auto"/>
          </w:divBdr>
        </w:div>
        <w:div w:id="1135831255">
          <w:marLeft w:val="0"/>
          <w:marRight w:val="0"/>
          <w:marTop w:val="0"/>
          <w:marBottom w:val="0"/>
          <w:divBdr>
            <w:top w:val="none" w:sz="0" w:space="0" w:color="auto"/>
            <w:left w:val="none" w:sz="0" w:space="0" w:color="auto"/>
            <w:bottom w:val="none" w:sz="0" w:space="0" w:color="auto"/>
            <w:right w:val="none" w:sz="0" w:space="0" w:color="auto"/>
          </w:divBdr>
        </w:div>
        <w:div w:id="945236535">
          <w:marLeft w:val="0"/>
          <w:marRight w:val="0"/>
          <w:marTop w:val="0"/>
          <w:marBottom w:val="0"/>
          <w:divBdr>
            <w:top w:val="none" w:sz="0" w:space="0" w:color="auto"/>
            <w:left w:val="none" w:sz="0" w:space="0" w:color="auto"/>
            <w:bottom w:val="none" w:sz="0" w:space="0" w:color="auto"/>
            <w:right w:val="none" w:sz="0" w:space="0" w:color="auto"/>
          </w:divBdr>
        </w:div>
        <w:div w:id="551356176">
          <w:marLeft w:val="0"/>
          <w:marRight w:val="0"/>
          <w:marTop w:val="0"/>
          <w:marBottom w:val="0"/>
          <w:divBdr>
            <w:top w:val="none" w:sz="0" w:space="0" w:color="auto"/>
            <w:left w:val="none" w:sz="0" w:space="0" w:color="auto"/>
            <w:bottom w:val="none" w:sz="0" w:space="0" w:color="auto"/>
            <w:right w:val="none" w:sz="0" w:space="0" w:color="auto"/>
          </w:divBdr>
        </w:div>
        <w:div w:id="131212495">
          <w:marLeft w:val="0"/>
          <w:marRight w:val="0"/>
          <w:marTop w:val="0"/>
          <w:marBottom w:val="0"/>
          <w:divBdr>
            <w:top w:val="none" w:sz="0" w:space="0" w:color="auto"/>
            <w:left w:val="none" w:sz="0" w:space="0" w:color="auto"/>
            <w:bottom w:val="none" w:sz="0" w:space="0" w:color="auto"/>
            <w:right w:val="none" w:sz="0" w:space="0" w:color="auto"/>
          </w:divBdr>
        </w:div>
        <w:div w:id="700933125">
          <w:marLeft w:val="0"/>
          <w:marRight w:val="0"/>
          <w:marTop w:val="0"/>
          <w:marBottom w:val="0"/>
          <w:divBdr>
            <w:top w:val="none" w:sz="0" w:space="0" w:color="auto"/>
            <w:left w:val="none" w:sz="0" w:space="0" w:color="auto"/>
            <w:bottom w:val="none" w:sz="0" w:space="0" w:color="auto"/>
            <w:right w:val="none" w:sz="0" w:space="0" w:color="auto"/>
          </w:divBdr>
        </w:div>
        <w:div w:id="761222168">
          <w:marLeft w:val="0"/>
          <w:marRight w:val="0"/>
          <w:marTop w:val="0"/>
          <w:marBottom w:val="0"/>
          <w:divBdr>
            <w:top w:val="none" w:sz="0" w:space="0" w:color="auto"/>
            <w:left w:val="none" w:sz="0" w:space="0" w:color="auto"/>
            <w:bottom w:val="none" w:sz="0" w:space="0" w:color="auto"/>
            <w:right w:val="none" w:sz="0" w:space="0" w:color="auto"/>
          </w:divBdr>
        </w:div>
        <w:div w:id="1302732430">
          <w:marLeft w:val="0"/>
          <w:marRight w:val="0"/>
          <w:marTop w:val="0"/>
          <w:marBottom w:val="0"/>
          <w:divBdr>
            <w:top w:val="none" w:sz="0" w:space="0" w:color="auto"/>
            <w:left w:val="none" w:sz="0" w:space="0" w:color="auto"/>
            <w:bottom w:val="none" w:sz="0" w:space="0" w:color="auto"/>
            <w:right w:val="none" w:sz="0" w:space="0" w:color="auto"/>
          </w:divBdr>
        </w:div>
        <w:div w:id="1002706167">
          <w:marLeft w:val="0"/>
          <w:marRight w:val="0"/>
          <w:marTop w:val="0"/>
          <w:marBottom w:val="0"/>
          <w:divBdr>
            <w:top w:val="none" w:sz="0" w:space="0" w:color="auto"/>
            <w:left w:val="none" w:sz="0" w:space="0" w:color="auto"/>
            <w:bottom w:val="none" w:sz="0" w:space="0" w:color="auto"/>
            <w:right w:val="none" w:sz="0" w:space="0" w:color="auto"/>
          </w:divBdr>
        </w:div>
        <w:div w:id="1529031104">
          <w:marLeft w:val="0"/>
          <w:marRight w:val="0"/>
          <w:marTop w:val="0"/>
          <w:marBottom w:val="0"/>
          <w:divBdr>
            <w:top w:val="none" w:sz="0" w:space="0" w:color="auto"/>
            <w:left w:val="none" w:sz="0" w:space="0" w:color="auto"/>
            <w:bottom w:val="none" w:sz="0" w:space="0" w:color="auto"/>
            <w:right w:val="none" w:sz="0" w:space="0" w:color="auto"/>
          </w:divBdr>
        </w:div>
        <w:div w:id="13074686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ps.k12.va.us/board/manual/jfc-r2.pdf"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jhillery</dc:creator>
  <cp:lastModifiedBy>ariser</cp:lastModifiedBy>
  <cp:revision>2</cp:revision>
  <cp:lastPrinted>2018-09-05T01:22:00Z</cp:lastPrinted>
  <dcterms:created xsi:type="dcterms:W3CDTF">2019-02-15T17:42:00Z</dcterms:created>
  <dcterms:modified xsi:type="dcterms:W3CDTF">2019-02-15T17:42:00Z</dcterms:modified>
</cp:coreProperties>
</file>